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75D676" w14:textId="2FD0BFE3" w:rsidR="00933E86" w:rsidRPr="007F79DC" w:rsidRDefault="00000000" w:rsidP="00422ABF">
      <w:pPr>
        <w:pBdr>
          <w:top w:val="single" w:sz="16" w:space="4" w:color="333333"/>
        </w:pBdr>
        <w:spacing w:after="120"/>
        <w:jc w:val="center"/>
        <w:rPr>
          <w:rFonts w:ascii="Aptos" w:hAnsi="Aptos"/>
          <w:sz w:val="36"/>
          <w:szCs w:val="36"/>
        </w:rPr>
      </w:pPr>
      <w:r w:rsidRPr="007F79DC">
        <w:rPr>
          <w:rFonts w:ascii="Aptos" w:hAnsi="Aptos"/>
          <w:b/>
          <w:color w:val="1E1E1E"/>
          <w:sz w:val="36"/>
          <w:szCs w:val="36"/>
        </w:rPr>
        <w:t xml:space="preserve">Helping </w:t>
      </w:r>
      <w:r w:rsidRPr="007F79DC">
        <w:rPr>
          <w:rFonts w:ascii="Aptos" w:hAnsi="Aptos"/>
          <w:b/>
          <w:color w:val="D2191E"/>
          <w:sz w:val="36"/>
          <w:szCs w:val="36"/>
        </w:rPr>
        <w:t xml:space="preserve">Middle School </w:t>
      </w:r>
      <w:r w:rsidR="007F79DC" w:rsidRPr="007F79DC">
        <w:rPr>
          <w:rFonts w:ascii="Aptos" w:hAnsi="Aptos"/>
          <w:b/>
          <w:color w:val="D2191E"/>
          <w:sz w:val="36"/>
          <w:szCs w:val="36"/>
        </w:rPr>
        <w:t xml:space="preserve">Students </w:t>
      </w:r>
      <w:r w:rsidR="007F79DC" w:rsidRPr="007F79DC">
        <w:rPr>
          <w:rFonts w:ascii="Aptos" w:hAnsi="Aptos"/>
          <w:b/>
          <w:color w:val="1E1E1E"/>
          <w:sz w:val="36"/>
          <w:szCs w:val="36"/>
        </w:rPr>
        <w:t>Cope with Grief &amp; Loss</w:t>
      </w:r>
    </w:p>
    <w:p w14:paraId="69B152B1" w14:textId="12244690" w:rsidR="00933E86" w:rsidRPr="007F79DC" w:rsidRDefault="007F79DC">
      <w:pPr>
        <w:spacing w:before="200" w:after="160"/>
        <w:jc w:val="center"/>
        <w:rPr>
          <w:rFonts w:ascii="Aptos" w:hAnsi="Aptos"/>
          <w:sz w:val="22"/>
        </w:rPr>
      </w:pPr>
      <w:r w:rsidRPr="007F79DC">
        <w:rPr>
          <w:rFonts w:ascii="Aptos" w:hAnsi="Aptos"/>
          <w:i/>
          <w:color w:val="DC1E23"/>
          <w:sz w:val="22"/>
        </w:rPr>
        <w:t>Here are some ways parents and guardians can support middle school students following a death or significant loss.</w:t>
      </w:r>
    </w:p>
    <w:tbl>
      <w:tblPr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8364"/>
      </w:tblGrid>
      <w:tr w:rsidR="00933E86" w:rsidRPr="007F79DC" w14:paraId="6C9718A2" w14:textId="77777777" w:rsidTr="00D02F38">
        <w:trPr>
          <w:jc w:val="center"/>
        </w:trPr>
        <w:tc>
          <w:tcPr>
            <w:tcW w:w="2835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52BE4ABC" w14:textId="77777777" w:rsidR="00933E86" w:rsidRPr="007F79DC" w:rsidRDefault="00000000" w:rsidP="00967813">
            <w:pPr>
              <w:ind w:right="1383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b/>
                <w:sz w:val="24"/>
                <w:szCs w:val="24"/>
              </w:rPr>
              <w:t>Check Facts</w:t>
            </w:r>
          </w:p>
        </w:tc>
        <w:tc>
          <w:tcPr>
            <w:tcW w:w="8364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A57279A" w14:textId="40199388" w:rsidR="00933E86" w:rsidRPr="007F79DC" w:rsidRDefault="00000000" w:rsidP="00D02F38">
            <w:pPr>
              <w:spacing w:after="0"/>
              <w:ind w:hanging="5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sz w:val="24"/>
                <w:szCs w:val="24"/>
              </w:rPr>
              <w:t xml:space="preserve">• </w:t>
            </w:r>
            <w:r w:rsidR="007F79DC" w:rsidRPr="007F79DC">
              <w:rPr>
                <w:rFonts w:ascii="Aptos" w:hAnsi="Aptos"/>
                <w:sz w:val="24"/>
                <w:szCs w:val="24"/>
              </w:rPr>
              <w:t>Give accurate information about what happened. Share only what you know to be confirmed.</w:t>
            </w:r>
            <w:r w:rsidR="007F79DC" w:rsidRPr="007F79DC">
              <w:rPr>
                <w:rFonts w:ascii="Aptos" w:hAnsi="Aptos"/>
                <w:sz w:val="24"/>
                <w:szCs w:val="24"/>
              </w:rPr>
              <w:br/>
              <w:t>• Answer questions honestly, providing only as much detail as requested.</w:t>
            </w:r>
            <w:r w:rsidR="007F79DC" w:rsidRPr="007F79DC">
              <w:rPr>
                <w:rFonts w:ascii="Aptos" w:hAnsi="Aptos"/>
                <w:sz w:val="24"/>
                <w:szCs w:val="24"/>
              </w:rPr>
              <w:br/>
              <w:t>• Limit repeated exposure to distressing media coverage and social media related to the death or event.</w:t>
            </w:r>
            <w:r w:rsidR="007F79DC" w:rsidRPr="007F79DC">
              <w:rPr>
                <w:rFonts w:ascii="Aptos" w:hAnsi="Aptos"/>
                <w:sz w:val="24"/>
                <w:szCs w:val="24"/>
              </w:rPr>
              <w:br/>
              <w:t>• Ask what they have heard about the death and correct misinformation or rumours. “Tell me what you have heard…” can be a helpful conversation opener. Be aware of information circulating on social media.</w:t>
            </w:r>
          </w:p>
        </w:tc>
      </w:tr>
      <w:tr w:rsidR="00933E86" w:rsidRPr="007F79DC" w14:paraId="065CEE07" w14:textId="77777777" w:rsidTr="00D02F38">
        <w:trPr>
          <w:jc w:val="center"/>
        </w:trPr>
        <w:tc>
          <w:tcPr>
            <w:tcW w:w="2835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7B98E8F2" w14:textId="77777777" w:rsidR="00933E86" w:rsidRPr="007F79DC" w:rsidRDefault="00000000">
            <w:pPr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b/>
                <w:sz w:val="24"/>
                <w:szCs w:val="24"/>
              </w:rPr>
              <w:t>Check Feelings</w:t>
            </w:r>
          </w:p>
        </w:tc>
        <w:tc>
          <w:tcPr>
            <w:tcW w:w="8364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3E75D677" w14:textId="159CF70A" w:rsidR="00967813" w:rsidRPr="00967813" w:rsidRDefault="00000000" w:rsidP="00D02F38">
            <w:pPr>
              <w:spacing w:after="0"/>
              <w:ind w:hanging="5"/>
              <w:rPr>
                <w:rFonts w:ascii="Aptos" w:hAnsi="Aptos"/>
                <w:sz w:val="24"/>
                <w:szCs w:val="24"/>
              </w:rPr>
            </w:pPr>
            <w:r w:rsidRPr="00967813">
              <w:rPr>
                <w:rFonts w:ascii="Aptos" w:hAnsi="Aptos"/>
                <w:sz w:val="24"/>
                <w:szCs w:val="24"/>
              </w:rPr>
              <w:t xml:space="preserve">• </w:t>
            </w:r>
            <w:r w:rsidR="00967813" w:rsidRPr="00967813">
              <w:rPr>
                <w:rFonts w:ascii="Aptos" w:hAnsi="Aptos"/>
                <w:sz w:val="24"/>
                <w:szCs w:val="24"/>
              </w:rPr>
              <w:t>Ask your child how they are feeling.</w:t>
            </w:r>
            <w:r w:rsidR="00967813" w:rsidRPr="00967813">
              <w:rPr>
                <w:rFonts w:ascii="Aptos" w:hAnsi="Aptos"/>
                <w:sz w:val="24"/>
                <w:szCs w:val="24"/>
              </w:rPr>
              <w:br/>
              <w:t>• Let them know that grief can involve many different feelings, including sadness, anger, guilt, fear, confusion or even relief. There is no single “right” way to feel.</w:t>
            </w:r>
            <w:r w:rsidR="00967813" w:rsidRPr="00967813">
              <w:rPr>
                <w:rFonts w:ascii="Aptos" w:hAnsi="Aptos"/>
                <w:sz w:val="24"/>
                <w:szCs w:val="24"/>
              </w:rPr>
              <w:br/>
              <w:t>• Be aware that grief and strong emotions may contribute to:</w:t>
            </w:r>
          </w:p>
          <w:p w14:paraId="1A89672B" w14:textId="4E6AB2B5" w:rsidR="00933E86" w:rsidRPr="007F79DC" w:rsidRDefault="00000000">
            <w:pPr>
              <w:spacing w:after="0"/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sz w:val="24"/>
                <w:szCs w:val="24"/>
              </w:rPr>
              <w:t xml:space="preserve">•  </w:t>
            </w:r>
            <w:r w:rsidR="00E978CE" w:rsidRPr="00E978CE">
              <w:rPr>
                <w:rFonts w:ascii="Aptos" w:hAnsi="Aptos"/>
                <w:sz w:val="24"/>
                <w:szCs w:val="24"/>
              </w:rPr>
              <w:t>Changes in sleep, appetite or physical wellbeing</w:t>
            </w:r>
          </w:p>
          <w:p w14:paraId="244793C5" w14:textId="084EC591" w:rsidR="00933E86" w:rsidRPr="007F79DC" w:rsidRDefault="00000000">
            <w:pPr>
              <w:spacing w:after="0"/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sz w:val="24"/>
                <w:szCs w:val="24"/>
              </w:rPr>
              <w:t xml:space="preserve">•  </w:t>
            </w:r>
            <w:r w:rsidR="00967813" w:rsidRPr="00967813">
              <w:rPr>
                <w:rFonts w:ascii="Aptos" w:hAnsi="Aptos"/>
                <w:sz w:val="24"/>
                <w:szCs w:val="24"/>
              </w:rPr>
              <w:t>Irritability, withdrawal or wanting more time alone</w:t>
            </w:r>
          </w:p>
          <w:p w14:paraId="68FCBA6A" w14:textId="28A997F7" w:rsidR="00933E86" w:rsidRPr="007F79DC" w:rsidRDefault="00000000">
            <w:pPr>
              <w:spacing w:after="0"/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sz w:val="24"/>
                <w:szCs w:val="24"/>
              </w:rPr>
              <w:t xml:space="preserve">•  </w:t>
            </w:r>
            <w:r w:rsidR="00967813" w:rsidRPr="00967813">
              <w:rPr>
                <w:rFonts w:ascii="Aptos" w:hAnsi="Aptos"/>
                <w:sz w:val="24"/>
                <w:szCs w:val="24"/>
              </w:rPr>
              <w:t>Increased emotional reactions or changes in behaviour</w:t>
            </w:r>
          </w:p>
          <w:p w14:paraId="42886A25" w14:textId="1D50D115" w:rsidR="00933E86" w:rsidRPr="007F79DC" w:rsidRDefault="00000000">
            <w:pPr>
              <w:spacing w:after="0"/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sz w:val="24"/>
                <w:szCs w:val="24"/>
              </w:rPr>
              <w:t xml:space="preserve">•  </w:t>
            </w:r>
            <w:r w:rsidR="00967813" w:rsidRPr="00967813">
              <w:rPr>
                <w:rFonts w:ascii="Aptos" w:hAnsi="Aptos"/>
                <w:sz w:val="24"/>
                <w:szCs w:val="24"/>
              </w:rPr>
              <w:t>Difficulty concentrating or changes in school participation or performance</w:t>
            </w:r>
          </w:p>
        </w:tc>
      </w:tr>
      <w:tr w:rsidR="00933E86" w:rsidRPr="007F79DC" w14:paraId="1A712965" w14:textId="77777777" w:rsidTr="00D02F38">
        <w:trPr>
          <w:jc w:val="center"/>
        </w:trPr>
        <w:tc>
          <w:tcPr>
            <w:tcW w:w="2835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36243B31" w14:textId="77777777" w:rsidR="00933E86" w:rsidRPr="007F79DC" w:rsidRDefault="00000000">
            <w:pPr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b/>
                <w:sz w:val="24"/>
                <w:szCs w:val="24"/>
              </w:rPr>
              <w:t>Empower</w:t>
            </w:r>
          </w:p>
        </w:tc>
        <w:tc>
          <w:tcPr>
            <w:tcW w:w="8364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140E12B1" w14:textId="10CB34D6" w:rsidR="00D02F38" w:rsidRDefault="00000000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sz w:val="24"/>
                <w:szCs w:val="24"/>
              </w:rPr>
              <w:t xml:space="preserve">• </w:t>
            </w:r>
            <w:r w:rsidR="00D02F38" w:rsidRPr="00D02F38">
              <w:rPr>
                <w:rFonts w:ascii="Aptos" w:hAnsi="Aptos"/>
                <w:sz w:val="24"/>
                <w:szCs w:val="24"/>
              </w:rPr>
              <w:t>When appropriate, help your child return to familiar routines, including</w:t>
            </w:r>
          </w:p>
          <w:p w14:paraId="77EEB9B4" w14:textId="5C392F53" w:rsidR="00D02F38" w:rsidRDefault="00D02F38" w:rsidP="00D02F38">
            <w:pPr>
              <w:spacing w:after="0"/>
              <w:ind w:left="139" w:hanging="139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school. Predictable routines and connections with others can provide stability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Pr="00D02F38">
              <w:rPr>
                <w:rFonts w:ascii="Aptos" w:hAnsi="Aptos"/>
                <w:sz w:val="24"/>
                <w:szCs w:val="24"/>
              </w:rPr>
              <w:t>and support.</w:t>
            </w:r>
          </w:p>
          <w:p w14:paraId="532B7E75" w14:textId="7777777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 Invite your child to talk about the person who died, while respecting when</w:t>
            </w:r>
          </w:p>
          <w:p w14:paraId="4EFCD864" w14:textId="32932CD4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they may not want to talk.</w:t>
            </w:r>
          </w:p>
          <w:p w14:paraId="0B889D08" w14:textId="7777777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 Help your child identify strategies, people or activities that have helped</w:t>
            </w:r>
          </w:p>
          <w:p w14:paraId="38BD3E2E" w14:textId="628B0D43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them through difficult situations in the past.</w:t>
            </w:r>
          </w:p>
          <w:p w14:paraId="78F59D17" w14:textId="7777777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 Remind your child that support is available and that they do not have to</w:t>
            </w:r>
          </w:p>
          <w:p w14:paraId="3A564A13" w14:textId="0EE8183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manage grief on their own.</w:t>
            </w:r>
          </w:p>
          <w:p w14:paraId="269F214D" w14:textId="7777777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 Provide opportunities for coping activities such as connecting with friends or</w:t>
            </w:r>
          </w:p>
          <w:p w14:paraId="759EEBD3" w14:textId="7777777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relatives, journalling, art, music, physical activity, attending a memorial</w:t>
            </w:r>
          </w:p>
          <w:p w14:paraId="57891DB2" w14:textId="71929573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service or creating something in memory of the person who died. Follow their</w:t>
            </w:r>
          </w:p>
          <w:p w14:paraId="025A2683" w14:textId="198D29CB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lead.</w:t>
            </w:r>
          </w:p>
          <w:p w14:paraId="05DD95F8" w14:textId="77777777" w:rsidR="00D02F38" w:rsidRDefault="00D02F38" w:rsidP="00D02F38">
            <w:pPr>
              <w:spacing w:after="0"/>
              <w:ind w:left="422" w:hanging="427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 Consider your family's cultural practices, faith traditions and preferences</w:t>
            </w:r>
          </w:p>
          <w:p w14:paraId="30D1E11E" w14:textId="77777777" w:rsidR="00933E86" w:rsidRDefault="00D02F38" w:rsidP="00D02F38">
            <w:pPr>
              <w:spacing w:after="0"/>
              <w:ind w:left="422" w:hanging="283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when choosing activities or supports.</w:t>
            </w:r>
          </w:p>
          <w:p w14:paraId="5CEF8D50" w14:textId="77777777" w:rsidR="00D02F38" w:rsidRDefault="00D02F38" w:rsidP="00D02F38">
            <w:pPr>
              <w:spacing w:after="0"/>
              <w:ind w:left="422" w:hanging="283"/>
              <w:rPr>
                <w:rFonts w:ascii="Aptos" w:hAnsi="Aptos"/>
                <w:sz w:val="24"/>
                <w:szCs w:val="24"/>
              </w:rPr>
            </w:pPr>
          </w:p>
          <w:p w14:paraId="1483AC2E" w14:textId="0121B9B2" w:rsidR="00D02F38" w:rsidRPr="007F79DC" w:rsidRDefault="00D02F38" w:rsidP="00D02F38">
            <w:pPr>
              <w:spacing w:after="0"/>
              <w:ind w:left="422" w:hanging="283"/>
              <w:rPr>
                <w:rFonts w:ascii="Aptos" w:hAnsi="Aptos"/>
                <w:sz w:val="24"/>
                <w:szCs w:val="24"/>
              </w:rPr>
            </w:pPr>
          </w:p>
        </w:tc>
      </w:tr>
      <w:tr w:rsidR="00933E86" w:rsidRPr="007F79DC" w14:paraId="63FEF6EE" w14:textId="77777777" w:rsidTr="00D02F38">
        <w:trPr>
          <w:jc w:val="center"/>
        </w:trPr>
        <w:tc>
          <w:tcPr>
            <w:tcW w:w="2835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24DC284" w14:textId="78CBCB6B" w:rsidR="00D02F38" w:rsidRPr="007F79DC" w:rsidRDefault="00D02F38">
            <w:pPr>
              <w:rPr>
                <w:rFonts w:ascii="Aptos" w:hAnsi="Aptos"/>
                <w:sz w:val="24"/>
                <w:szCs w:val="24"/>
              </w:rPr>
            </w:pPr>
            <w:r w:rsidRPr="007F79DC">
              <w:rPr>
                <w:rFonts w:ascii="Aptos" w:hAnsi="Aptos"/>
                <w:b/>
                <w:sz w:val="24"/>
                <w:szCs w:val="24"/>
              </w:rPr>
              <w:lastRenderedPageBreak/>
              <w:t>Monitor</w:t>
            </w:r>
          </w:p>
        </w:tc>
        <w:tc>
          <w:tcPr>
            <w:tcW w:w="8364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511E0B50" w14:textId="4E6AD86E" w:rsidR="00D02F38" w:rsidRDefault="00D02F38" w:rsidP="00D02F38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Pr="00D02F38">
              <w:rPr>
                <w:rFonts w:ascii="Aptos" w:hAnsi="Aptos"/>
                <w:sz w:val="24"/>
                <w:szCs w:val="24"/>
              </w:rPr>
              <w:t>Be aware of your child's social media and online activity, particularly exposure to distressing information about the death or event.</w:t>
            </w:r>
          </w:p>
          <w:p w14:paraId="520EA1C7" w14:textId="73FDE15A" w:rsidR="00933E86" w:rsidRDefault="00D02F38" w:rsidP="00D02F38">
            <w:pPr>
              <w:spacing w:after="0"/>
              <w:ind w:firstLine="43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>• Be attentive to significant changes in behaviour, sleep, eating, school participation, relationships or usual activities.</w:t>
            </w:r>
            <w:r w:rsidRPr="00D02F38">
              <w:rPr>
                <w:rFonts w:ascii="Aptos" w:hAnsi="Aptos"/>
                <w:sz w:val="24"/>
                <w:szCs w:val="24"/>
              </w:rPr>
              <w:br/>
              <w:t>• Watch for persistent distress that interferes with daily functioning, significant withdrawal, ongoing anxiety or fear, increased risk-taking, or other concerning changes.</w:t>
            </w:r>
            <w:r w:rsidRPr="00D02F38">
              <w:rPr>
                <w:rFonts w:ascii="Aptos" w:hAnsi="Aptos"/>
                <w:sz w:val="24"/>
                <w:szCs w:val="24"/>
              </w:rPr>
              <w:br/>
              <w:t>• Take any indication that a young person may harm themselves or someone else seriously and seek immediate help.</w:t>
            </w:r>
            <w:r w:rsidRPr="00D02F38">
              <w:rPr>
                <w:rFonts w:ascii="Aptos" w:hAnsi="Aptos"/>
                <w:sz w:val="24"/>
                <w:szCs w:val="24"/>
              </w:rPr>
              <w:br/>
              <w:t>• If you are concerned about your child's wellbeing or ability to cope, connect with their school, family doctor or primary care provider, or an appropriate community or mental-health support.</w:t>
            </w:r>
          </w:p>
          <w:p w14:paraId="2E7545AE" w14:textId="7C11E130" w:rsidR="00D02F38" w:rsidRPr="00D02F38" w:rsidRDefault="00D02F38" w:rsidP="00D02F38">
            <w:pPr>
              <w:spacing w:after="0"/>
              <w:ind w:left="230" w:hanging="187"/>
              <w:rPr>
                <w:rFonts w:ascii="Aptos" w:hAnsi="Aptos"/>
                <w:sz w:val="24"/>
                <w:szCs w:val="24"/>
              </w:rPr>
            </w:pPr>
          </w:p>
        </w:tc>
      </w:tr>
      <w:tr w:rsidR="00D02F38" w:rsidRPr="00126A46" w14:paraId="37D52883" w14:textId="77777777" w:rsidTr="00D02F38">
        <w:trPr>
          <w:jc w:val="center"/>
        </w:trPr>
        <w:tc>
          <w:tcPr>
            <w:tcW w:w="2835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05EB1157" w14:textId="77777777" w:rsidR="00D02F38" w:rsidRPr="00D02F38" w:rsidRDefault="00D02F38" w:rsidP="00B01812">
            <w:pPr>
              <w:rPr>
                <w:rFonts w:ascii="Aptos" w:hAnsi="Aptos"/>
                <w:b/>
                <w:sz w:val="24"/>
                <w:szCs w:val="24"/>
              </w:rPr>
            </w:pPr>
            <w:r w:rsidRPr="00D02F38">
              <w:rPr>
                <w:rFonts w:ascii="Aptos" w:hAnsi="Aptos"/>
                <w:b/>
                <w:sz w:val="24"/>
                <w:szCs w:val="24"/>
              </w:rPr>
              <w:t xml:space="preserve">Other Resources </w:t>
            </w:r>
          </w:p>
        </w:tc>
        <w:tc>
          <w:tcPr>
            <w:tcW w:w="8364" w:type="dxa"/>
            <w:tcBorders>
              <w:top w:val="single" w:sz="4" w:space="0" w:color="AAAAAA"/>
            </w:tcBorders>
            <w:tcMar>
              <w:top w:w="40" w:type="dxa"/>
              <w:left w:w="0" w:type="dxa"/>
              <w:bottom w:w="40" w:type="dxa"/>
              <w:right w:w="40" w:type="dxa"/>
            </w:tcMar>
          </w:tcPr>
          <w:p w14:paraId="2604E9C9" w14:textId="77777777" w:rsidR="00D02F38" w:rsidRPr="005C4D83" w:rsidRDefault="00D02F38" w:rsidP="00D02F38">
            <w:pPr>
              <w:pStyle w:val="ListParagraph"/>
              <w:numPr>
                <w:ilvl w:val="0"/>
                <w:numId w:val="10"/>
              </w:numPr>
              <w:spacing w:after="30"/>
              <w:ind w:left="400"/>
              <w:rPr>
                <w:rFonts w:ascii="Aptos" w:hAnsi="Aptos"/>
                <w:sz w:val="24"/>
                <w:szCs w:val="24"/>
              </w:rPr>
            </w:pPr>
            <w:r w:rsidRPr="00E978CE">
              <w:rPr>
                <w:rFonts w:ascii="Aptos" w:hAnsi="Aptos"/>
                <w:b/>
                <w:bCs/>
                <w:sz w:val="24"/>
                <w:szCs w:val="24"/>
              </w:rPr>
              <w:t>Alberta Health Services / MyHealth Alberta</w:t>
            </w:r>
            <w:r w:rsidRPr="005C4D83">
              <w:rPr>
                <w:rFonts w:ascii="Aptos" w:hAnsi="Aptos"/>
                <w:sz w:val="24"/>
                <w:szCs w:val="24"/>
              </w:rPr>
              <w:t xml:space="preserve"> – Grief and Loss: Information for families supporting children and youth experiencing grief.</w:t>
            </w:r>
          </w:p>
          <w:p w14:paraId="258979D2" w14:textId="77777777" w:rsidR="00D02F38" w:rsidRPr="00D02F38" w:rsidRDefault="00D02F38" w:rsidP="00D02F38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sz w:val="24"/>
                <w:szCs w:val="24"/>
              </w:rPr>
              <w:t xml:space="preserve"> - </w:t>
            </w:r>
            <w:hyperlink r:id="rId8" w:history="1">
              <w:r w:rsidRPr="00D02F38">
                <w:rPr>
                  <w:rStyle w:val="Hyperlink"/>
                  <w:rFonts w:ascii="Aptos" w:hAnsi="Aptos"/>
                  <w:sz w:val="24"/>
                  <w:szCs w:val="24"/>
                </w:rPr>
                <w:t>https://myhealth.alberta.ca/Palliative-Care/resources/grief-and-bereavement</w:t>
              </w:r>
            </w:hyperlink>
          </w:p>
          <w:p w14:paraId="261330CD" w14:textId="77777777" w:rsidR="00D02F38" w:rsidRPr="005C4D83" w:rsidRDefault="00D02F38" w:rsidP="00D02F38">
            <w:pPr>
              <w:pStyle w:val="ListParagraph"/>
              <w:numPr>
                <w:ilvl w:val="0"/>
                <w:numId w:val="10"/>
              </w:numPr>
              <w:spacing w:after="30"/>
              <w:ind w:left="400"/>
              <w:rPr>
                <w:rFonts w:ascii="Aptos" w:hAnsi="Aptos"/>
                <w:sz w:val="24"/>
                <w:szCs w:val="24"/>
              </w:rPr>
            </w:pPr>
            <w:r w:rsidRPr="00E978CE">
              <w:rPr>
                <w:rFonts w:ascii="Aptos" w:hAnsi="Aptos"/>
                <w:b/>
                <w:bCs/>
                <w:sz w:val="24"/>
                <w:szCs w:val="24"/>
              </w:rPr>
              <w:t>Kids Help Phone</w:t>
            </w:r>
            <w:r w:rsidRPr="005C4D83">
              <w:rPr>
                <w:rFonts w:ascii="Aptos" w:hAnsi="Aptos"/>
                <w:sz w:val="24"/>
                <w:szCs w:val="24"/>
              </w:rPr>
              <w:br/>
              <w:t>24/7 support for children and youth across Canada.</w:t>
            </w:r>
          </w:p>
          <w:p w14:paraId="4943F533" w14:textId="77777777" w:rsidR="00D02F38" w:rsidRDefault="00D02F38" w:rsidP="00D02F38">
            <w:pPr>
              <w:spacing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        </w:t>
            </w:r>
            <w:hyperlink r:id="rId9" w:history="1">
              <w:r w:rsidRPr="00D02F38">
                <w:rPr>
                  <w:rStyle w:val="Hyperlink"/>
                  <w:rFonts w:ascii="Aptos" w:hAnsi="Aptos"/>
                  <w:sz w:val="24"/>
                  <w:szCs w:val="24"/>
                </w:rPr>
                <w:t>https://kidshelpphone.ca/</w:t>
              </w:r>
            </w:hyperlink>
          </w:p>
          <w:p w14:paraId="4F227F5E" w14:textId="77777777" w:rsidR="00D02F38" w:rsidRPr="005C4D83" w:rsidRDefault="00D02F38" w:rsidP="00D02F38">
            <w:pPr>
              <w:pStyle w:val="ListParagraph"/>
              <w:numPr>
                <w:ilvl w:val="0"/>
                <w:numId w:val="10"/>
              </w:numPr>
              <w:spacing w:after="30"/>
              <w:ind w:left="400"/>
              <w:rPr>
                <w:rFonts w:ascii="Aptos" w:hAnsi="Aptos"/>
                <w:sz w:val="24"/>
                <w:szCs w:val="24"/>
              </w:rPr>
            </w:pPr>
            <w:r w:rsidRPr="00E978CE">
              <w:rPr>
                <w:rFonts w:ascii="Aptos" w:hAnsi="Aptos"/>
                <w:b/>
                <w:bCs/>
                <w:sz w:val="24"/>
                <w:szCs w:val="24"/>
              </w:rPr>
              <w:t>YouthGrief.ca</w:t>
            </w:r>
            <w:r w:rsidRPr="005C4D83">
              <w:rPr>
                <w:rFonts w:ascii="Aptos" w:hAnsi="Aptos"/>
                <w:sz w:val="24"/>
                <w:szCs w:val="24"/>
              </w:rPr>
              <w:br/>
              <w:t>A free Canadian resource developed with grieving youth, for grieving youth.</w:t>
            </w:r>
          </w:p>
          <w:p w14:paraId="797D0AD1" w14:textId="77777777" w:rsidR="00D02F38" w:rsidRDefault="00D02F38" w:rsidP="00D02F38">
            <w:pPr>
              <w:spacing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        </w:t>
            </w:r>
            <w:hyperlink r:id="rId10" w:history="1">
              <w:r w:rsidRPr="00D02F38">
                <w:rPr>
                  <w:rStyle w:val="Hyperlink"/>
                  <w:rFonts w:ascii="Aptos" w:hAnsi="Aptos"/>
                  <w:sz w:val="24"/>
                  <w:szCs w:val="24"/>
                </w:rPr>
                <w:t>https://youthgrief.ca/</w:t>
              </w:r>
            </w:hyperlink>
          </w:p>
          <w:p w14:paraId="5DD579B5" w14:textId="77777777" w:rsidR="00D02F38" w:rsidRPr="00126A46" w:rsidRDefault="00D02F38" w:rsidP="00D02F38">
            <w:pPr>
              <w:spacing w:after="0"/>
              <w:ind w:left="-5"/>
              <w:rPr>
                <w:rFonts w:ascii="Aptos" w:hAnsi="Aptos"/>
                <w:sz w:val="24"/>
                <w:szCs w:val="24"/>
              </w:rPr>
            </w:pPr>
          </w:p>
          <w:p w14:paraId="4D14F3AE" w14:textId="77777777" w:rsidR="00D02F38" w:rsidRPr="00126A46" w:rsidRDefault="00D02F38" w:rsidP="00D02F38">
            <w:pPr>
              <w:spacing w:after="0"/>
              <w:ind w:left="-5"/>
              <w:jc w:val="center"/>
              <w:rPr>
                <w:rFonts w:ascii="Aptos" w:hAnsi="Aptos"/>
                <w:sz w:val="24"/>
                <w:szCs w:val="24"/>
              </w:rPr>
            </w:pPr>
            <w:r w:rsidRPr="00D02F38">
              <w:rPr>
                <w:rFonts w:ascii="Aptos" w:hAnsi="Aptos"/>
                <w:color w:val="EE0000"/>
                <w:sz w:val="24"/>
                <w:szCs w:val="24"/>
              </w:rPr>
              <w:t>With caring relationships, appropriate support and time, young people can learn to understand and cope with grief and loss.</w:t>
            </w:r>
          </w:p>
        </w:tc>
      </w:tr>
    </w:tbl>
    <w:p w14:paraId="023C2BFC" w14:textId="7C66918F" w:rsidR="00933E86" w:rsidRPr="007F79DC" w:rsidRDefault="00933E86">
      <w:pPr>
        <w:spacing w:before="40"/>
        <w:rPr>
          <w:rFonts w:ascii="Aptos" w:hAnsi="Aptos"/>
          <w:sz w:val="24"/>
          <w:szCs w:val="24"/>
        </w:rPr>
      </w:pPr>
    </w:p>
    <w:sectPr w:rsidR="00933E86" w:rsidRPr="007F79DC" w:rsidSect="00034616">
      <w:headerReference w:type="default" r:id="rId11"/>
      <w:pgSz w:w="12240" w:h="15840"/>
      <w:pgMar w:top="432" w:right="547" w:bottom="432" w:left="5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54727" w14:textId="77777777" w:rsidR="008C7FD3" w:rsidRDefault="008C7FD3" w:rsidP="00422ABF">
      <w:pPr>
        <w:spacing w:after="0" w:line="240" w:lineRule="auto"/>
      </w:pPr>
      <w:r>
        <w:separator/>
      </w:r>
    </w:p>
  </w:endnote>
  <w:endnote w:type="continuationSeparator" w:id="0">
    <w:p w14:paraId="203DDE5D" w14:textId="77777777" w:rsidR="008C7FD3" w:rsidRDefault="008C7FD3" w:rsidP="0042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413662" w14:textId="77777777" w:rsidR="008C7FD3" w:rsidRDefault="008C7FD3" w:rsidP="00422ABF">
      <w:pPr>
        <w:spacing w:after="0" w:line="240" w:lineRule="auto"/>
      </w:pPr>
      <w:r>
        <w:separator/>
      </w:r>
    </w:p>
  </w:footnote>
  <w:footnote w:type="continuationSeparator" w:id="0">
    <w:p w14:paraId="00A8C132" w14:textId="77777777" w:rsidR="008C7FD3" w:rsidRDefault="008C7FD3" w:rsidP="0042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F15C0C" w14:textId="13131B1D" w:rsidR="00422ABF" w:rsidRDefault="00422ABF">
    <w:pPr>
      <w:pStyle w:val="Header"/>
      <w:rPr>
        <w:lang w:val="en-CA"/>
      </w:rPr>
    </w:pPr>
    <w:r>
      <w:rPr>
        <w:noProof/>
      </w:rPr>
      <w:drawing>
        <wp:inline distT="0" distB="0" distL="0" distR="0" wp14:anchorId="5F03E7D2" wp14:editId="33E15DA6">
          <wp:extent cx="2108200" cy="537225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235" cy="54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61EAB2" w14:textId="77777777" w:rsidR="00422ABF" w:rsidRDefault="00422ABF">
    <w:pPr>
      <w:pStyle w:val="Header"/>
      <w:rPr>
        <w:lang w:val="en-CA"/>
      </w:rPr>
    </w:pPr>
  </w:p>
  <w:p w14:paraId="4525D207" w14:textId="77777777" w:rsidR="00422ABF" w:rsidRDefault="00422ABF">
    <w:pPr>
      <w:pStyle w:val="Header"/>
      <w:rPr>
        <w:lang w:val="en-CA"/>
      </w:rPr>
    </w:pPr>
  </w:p>
  <w:p w14:paraId="6255E4CD" w14:textId="77777777" w:rsidR="00422ABF" w:rsidRPr="00422ABF" w:rsidRDefault="00422ABF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6C0150"/>
    <w:multiLevelType w:val="hybridMultilevel"/>
    <w:tmpl w:val="4BB83BAA"/>
    <w:lvl w:ilvl="0" w:tplc="2A14BEA0">
      <w:numFmt w:val="bullet"/>
      <w:lvlText w:val="•"/>
      <w:lvlJc w:val="left"/>
      <w:pPr>
        <w:ind w:left="677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192748">
    <w:abstractNumId w:val="8"/>
  </w:num>
  <w:num w:numId="2" w16cid:durableId="918296466">
    <w:abstractNumId w:val="6"/>
  </w:num>
  <w:num w:numId="3" w16cid:durableId="175000661">
    <w:abstractNumId w:val="5"/>
  </w:num>
  <w:num w:numId="4" w16cid:durableId="267079130">
    <w:abstractNumId w:val="4"/>
  </w:num>
  <w:num w:numId="5" w16cid:durableId="54592182">
    <w:abstractNumId w:val="7"/>
  </w:num>
  <w:num w:numId="6" w16cid:durableId="385490650">
    <w:abstractNumId w:val="3"/>
  </w:num>
  <w:num w:numId="7" w16cid:durableId="1550146011">
    <w:abstractNumId w:val="2"/>
  </w:num>
  <w:num w:numId="8" w16cid:durableId="2022078732">
    <w:abstractNumId w:val="1"/>
  </w:num>
  <w:num w:numId="9" w16cid:durableId="32511319">
    <w:abstractNumId w:val="0"/>
  </w:num>
  <w:num w:numId="10" w16cid:durableId="19396789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17E"/>
    <w:rsid w:val="0029639D"/>
    <w:rsid w:val="00326F90"/>
    <w:rsid w:val="00422ABF"/>
    <w:rsid w:val="00460B88"/>
    <w:rsid w:val="007D40ED"/>
    <w:rsid w:val="007F79DC"/>
    <w:rsid w:val="00847733"/>
    <w:rsid w:val="008C7FD3"/>
    <w:rsid w:val="00933E86"/>
    <w:rsid w:val="00967813"/>
    <w:rsid w:val="00AA1D8D"/>
    <w:rsid w:val="00B47730"/>
    <w:rsid w:val="00BC3359"/>
    <w:rsid w:val="00BD7B0A"/>
    <w:rsid w:val="00CB0664"/>
    <w:rsid w:val="00D02F38"/>
    <w:rsid w:val="00E978CE"/>
    <w:rsid w:val="00EC0010"/>
    <w:rsid w:val="00EC03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B9E03C"/>
  <w14:defaultImageDpi w14:val="300"/>
  <w15:docId w15:val="{FA487CA1-25CE-4474-836A-011E893C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02F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health.alberta.ca/Palliative-Care/resources/grief-and-bereavemen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youthgrief.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dshelpphone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Erin Murphy</cp:lastModifiedBy>
  <cp:revision>2</cp:revision>
  <dcterms:created xsi:type="dcterms:W3CDTF">2026-10-02T15:31:00Z</dcterms:created>
  <dcterms:modified xsi:type="dcterms:W3CDTF">2026-10-02T15:31:00Z</dcterms:modified>
  <cp:category/>
</cp:coreProperties>
</file>